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3DB" w:rsidRPr="006513DB" w:rsidRDefault="006513DB" w:rsidP="00AB687D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513DB"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Муниципальное </w:t>
      </w:r>
      <w:r w:rsidR="00B566F7">
        <w:rPr>
          <w:rFonts w:ascii="Times New Roman" w:eastAsia="Calibri" w:hAnsi="Times New Roman" w:cs="Times New Roman"/>
          <w:b/>
          <w:sz w:val="24"/>
          <w:szCs w:val="24"/>
        </w:rPr>
        <w:t>казен</w:t>
      </w:r>
      <w:r w:rsidRPr="006513DB">
        <w:rPr>
          <w:rFonts w:ascii="Times New Roman" w:eastAsia="Calibri" w:hAnsi="Times New Roman" w:cs="Times New Roman"/>
          <w:b/>
          <w:sz w:val="24"/>
          <w:szCs w:val="24"/>
        </w:rPr>
        <w:t>ное дошкольное образовательное учреждение</w:t>
      </w:r>
    </w:p>
    <w:p w:rsidR="006513DB" w:rsidRPr="006513DB" w:rsidRDefault="00D00EF5" w:rsidP="00AB687D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«</w:t>
      </w:r>
      <w:proofErr w:type="spellStart"/>
      <w:r w:rsidR="00B566F7">
        <w:rPr>
          <w:rFonts w:ascii="Times New Roman" w:eastAsia="Calibri" w:hAnsi="Times New Roman" w:cs="Times New Roman"/>
          <w:b/>
          <w:sz w:val="24"/>
          <w:szCs w:val="24"/>
        </w:rPr>
        <w:t>Сухобузимский</w:t>
      </w:r>
      <w:proofErr w:type="spellEnd"/>
      <w:r w:rsidR="00B566F7">
        <w:rPr>
          <w:rFonts w:ascii="Times New Roman" w:eastAsia="Calibri" w:hAnsi="Times New Roman" w:cs="Times New Roman"/>
          <w:b/>
          <w:sz w:val="24"/>
          <w:szCs w:val="24"/>
        </w:rPr>
        <w:t xml:space="preserve"> детский сад №3</w:t>
      </w:r>
      <w:r w:rsidR="006513DB" w:rsidRPr="006513DB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="00B566F7">
        <w:rPr>
          <w:rFonts w:ascii="Times New Roman" w:eastAsia="Calibri" w:hAnsi="Times New Roman" w:cs="Times New Roman"/>
          <w:b/>
          <w:sz w:val="24"/>
          <w:szCs w:val="24"/>
        </w:rPr>
        <w:t>комбинированного вида</w:t>
      </w:r>
    </w:p>
    <w:p w:rsidR="006513DB" w:rsidRPr="006513DB" w:rsidRDefault="006513DB" w:rsidP="006513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513DB" w:rsidRPr="006513DB" w:rsidRDefault="006513DB" w:rsidP="006513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13DB" w:rsidRDefault="006513DB" w:rsidP="006513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687D" w:rsidRDefault="00AB687D" w:rsidP="006513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687D" w:rsidRDefault="00AB687D" w:rsidP="006513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7B62" w:rsidRDefault="00FD7B62" w:rsidP="006513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7B62" w:rsidRDefault="00FD7B62" w:rsidP="006513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7B62" w:rsidRDefault="00FD7B62" w:rsidP="006513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7B62" w:rsidRDefault="00FD7B62" w:rsidP="006513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7B62" w:rsidRDefault="00FD7B62" w:rsidP="006513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7B62" w:rsidRDefault="00FD7B62" w:rsidP="006513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7B62" w:rsidRPr="006513DB" w:rsidRDefault="00FD7B62" w:rsidP="006513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719C" w:rsidRDefault="006513DB" w:rsidP="005F4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D7B6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</w:t>
      </w:r>
      <w:r w:rsidR="005C225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НАЛИТИЧЕСКАЯ СПРАВКА ПО РЕЗУЛЬТАТАМ МОНИТОРИНГА </w:t>
      </w:r>
      <w:r w:rsidR="004F719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ОСВОЕНИЯ</w:t>
      </w:r>
    </w:p>
    <w:p w:rsidR="005C225D" w:rsidRDefault="005C225D" w:rsidP="005F4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ОБРАЗОВАТЕЛЬНЫХ ОБЛАСТЕЙ </w:t>
      </w:r>
    </w:p>
    <w:p w:rsidR="005C225D" w:rsidRDefault="005C225D" w:rsidP="005F4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ЗА </w:t>
      </w:r>
      <w:r w:rsidR="00B566F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2020-2021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УЧЕБНЫЙ ГОД</w:t>
      </w:r>
    </w:p>
    <w:p w:rsidR="00FD7B62" w:rsidRPr="00FD7B62" w:rsidRDefault="00FD7B62" w:rsidP="005F4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D7B62" w:rsidRPr="00FD7B62" w:rsidRDefault="00FD7B62" w:rsidP="005F4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7B62" w:rsidRPr="00FD7B62" w:rsidRDefault="00FD7B62" w:rsidP="005F4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7B62" w:rsidRPr="00FD7B62" w:rsidRDefault="00FD7B62" w:rsidP="005F4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7B62" w:rsidRPr="00FD7B62" w:rsidRDefault="00FD7B62" w:rsidP="005F4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7B62" w:rsidRPr="00FD7B62" w:rsidRDefault="00FD7B62" w:rsidP="005F4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7B62" w:rsidRPr="00FD7B62" w:rsidRDefault="00FD7B62" w:rsidP="005F4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66F7" w:rsidRDefault="00B566F7" w:rsidP="00FD7B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66F7" w:rsidRDefault="00B566F7" w:rsidP="00FD7B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66F7" w:rsidRDefault="00B566F7" w:rsidP="00FD7B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66F7" w:rsidRDefault="00B566F7" w:rsidP="00FD7B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66F7" w:rsidRDefault="00B566F7" w:rsidP="00FD7B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66F7" w:rsidRDefault="00B566F7" w:rsidP="00FD7B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66F7" w:rsidRDefault="00B566F7" w:rsidP="00FD7B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66F7" w:rsidRDefault="00B566F7" w:rsidP="00FD7B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66F7" w:rsidRDefault="00B566F7" w:rsidP="00FD7B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66F7" w:rsidRDefault="00B566F7" w:rsidP="00FD7B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66F7" w:rsidRDefault="00B566F7" w:rsidP="00B566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</w:t>
      </w:r>
    </w:p>
    <w:p w:rsidR="00B566F7" w:rsidRDefault="00B566F7" w:rsidP="00B566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66F7" w:rsidRDefault="00B566F7" w:rsidP="00B566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66F7" w:rsidRDefault="00B566F7" w:rsidP="00B566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66F7" w:rsidRDefault="00B566F7" w:rsidP="00B566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66F7" w:rsidRDefault="00B566F7" w:rsidP="00B566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66F7" w:rsidRDefault="00B566F7" w:rsidP="00B566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Составила:</w:t>
      </w:r>
    </w:p>
    <w:p w:rsidR="00B566F7" w:rsidRDefault="00FD7B62" w:rsidP="00FD7B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7B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старший воспитатель </w:t>
      </w:r>
    </w:p>
    <w:p w:rsidR="00FD7B62" w:rsidRPr="00FD7B62" w:rsidRDefault="00B566F7" w:rsidP="00FD7B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Гриневич С.М</w:t>
      </w:r>
      <w:r w:rsidR="00D00E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FD7B62" w:rsidRPr="00FD7B62" w:rsidRDefault="00FD7B62" w:rsidP="005F4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7B62" w:rsidRDefault="00FD7B62" w:rsidP="005F4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FD7B62" w:rsidRDefault="00FD7B62" w:rsidP="005F4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B566F7" w:rsidRDefault="00B566F7" w:rsidP="005F4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66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Сухобузимское </w:t>
      </w:r>
    </w:p>
    <w:p w:rsidR="00FD7B62" w:rsidRPr="00B566F7" w:rsidRDefault="00B566F7" w:rsidP="005F4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2021</w:t>
      </w:r>
    </w:p>
    <w:p w:rsidR="006513DB" w:rsidRPr="006513DB" w:rsidRDefault="006513DB" w:rsidP="006513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3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Цель:   </w:t>
      </w:r>
      <w:r w:rsidRPr="006513D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степень освоения детьми общеобразовательной программы дошкольного учреждения и влияние образовательного процесса, организуемого в дошкольном учреждении, на развитие ребенка.</w:t>
      </w:r>
    </w:p>
    <w:p w:rsidR="006513DB" w:rsidRPr="006513DB" w:rsidRDefault="006513DB" w:rsidP="00FD7B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3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Объектом</w:t>
      </w:r>
      <w:r w:rsidRPr="00651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мониторинга являются показатели развития детей в пяти образовательных областях, оцениваемые на основе анализа их проявлений в разных видах деятельности.</w:t>
      </w:r>
    </w:p>
    <w:p w:rsidR="006513DB" w:rsidRPr="006513DB" w:rsidRDefault="006513DB" w:rsidP="00FD7B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3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Предметом</w:t>
      </w:r>
      <w:r w:rsidRPr="00651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мониторингового исследования являются навыки и умения детей</w:t>
      </w:r>
      <w:r w:rsidR="00FD7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разных образовательных областях</w:t>
      </w:r>
      <w:r w:rsidRPr="006513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13DB" w:rsidRPr="006513DB" w:rsidRDefault="006513DB" w:rsidP="00FD7B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3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Субъект</w:t>
      </w:r>
      <w:r w:rsidRPr="00651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мониторинга – дети дошкольного возраста.</w:t>
      </w:r>
    </w:p>
    <w:p w:rsidR="006513DB" w:rsidRPr="006513DB" w:rsidRDefault="006513DB" w:rsidP="005F4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3D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Данный мониторинг провод</w:t>
      </w:r>
      <w:r w:rsidR="00D94055">
        <w:rPr>
          <w:rFonts w:ascii="Times New Roman" w:eastAsia="Times New Roman" w:hAnsi="Times New Roman" w:cs="Times New Roman"/>
          <w:sz w:val="24"/>
          <w:szCs w:val="24"/>
          <w:lang w:eastAsia="ru-RU"/>
        </w:rPr>
        <w:t>ился воспитателями, музыкальным руководителем</w:t>
      </w:r>
      <w:r w:rsidRPr="006513DB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инструк</w:t>
      </w:r>
      <w:r w:rsidR="00D94055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тором по физическому воспитанию</w:t>
      </w:r>
      <w:r w:rsidRPr="006513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4055" w:rsidRDefault="006513DB" w:rsidP="00D940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3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проведений мониторинга:</w:t>
      </w:r>
      <w:r w:rsidRPr="00651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наблюдения за детьми, игры, беседы, экспертные оценки.</w:t>
      </w:r>
    </w:p>
    <w:p w:rsidR="006513DB" w:rsidRPr="006513DB" w:rsidRDefault="006513DB" w:rsidP="00D94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Мониторинг проводился </w:t>
      </w:r>
      <w:r w:rsidR="00B566F7">
        <w:rPr>
          <w:rFonts w:ascii="Times New Roman" w:eastAsia="Times New Roman" w:hAnsi="Times New Roman" w:cs="Times New Roman"/>
          <w:sz w:val="24"/>
          <w:szCs w:val="24"/>
          <w:lang w:eastAsia="ru-RU"/>
        </w:rPr>
        <w:t>с 11.05 по 21.05.2021</w:t>
      </w:r>
      <w:r w:rsidR="00D00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</w:t>
      </w:r>
      <w:r w:rsidRPr="00651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ФГОС </w:t>
      </w:r>
      <w:proofErr w:type="gramStart"/>
      <w:r w:rsidRPr="006513DB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651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513D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51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конце года по 5 образовательным областям: «Физическое развитие», «Социально-коммуникативное развитие», «Познавательное развитие», «Речевое развитие», «Художественно-эстетическое развитие».</w:t>
      </w:r>
      <w:r w:rsidR="00D00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Мониторинг проводился воспитателями дошкольных групп, </w:t>
      </w:r>
      <w:proofErr w:type="spellStart"/>
      <w:r w:rsidR="00B566F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Рукосуевой</w:t>
      </w:r>
      <w:proofErr w:type="spellEnd"/>
      <w:r w:rsidR="00B56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И.Н, </w:t>
      </w:r>
      <w:proofErr w:type="spellStart"/>
      <w:r w:rsidR="00B566F7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ЛовцовойИ</w:t>
      </w:r>
      <w:proofErr w:type="gramStart"/>
      <w:r w:rsidR="00B566F7"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spellEnd"/>
      <w:proofErr w:type="gramEnd"/>
      <w:r w:rsidR="00B566F7">
        <w:rPr>
          <w:rFonts w:ascii="Times New Roman" w:eastAsia="Times New Roman" w:hAnsi="Times New Roman" w:cs="Times New Roman"/>
          <w:sz w:val="24"/>
          <w:szCs w:val="24"/>
          <w:lang w:eastAsia="ru-RU"/>
        </w:rPr>
        <w:t>, Лапшиной Л.А. музыкальным руководителем</w:t>
      </w:r>
      <w:r w:rsidR="00D00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9405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Алисие</w:t>
      </w:r>
      <w:r w:rsidR="00B566F7">
        <w:rPr>
          <w:rFonts w:ascii="Times New Roman" w:eastAsia="Times New Roman" w:hAnsi="Times New Roman" w:cs="Times New Roman"/>
          <w:sz w:val="24"/>
          <w:szCs w:val="24"/>
          <w:lang w:eastAsia="ru-RU"/>
        </w:rPr>
        <w:t>вич</w:t>
      </w:r>
      <w:proofErr w:type="spellEnd"/>
      <w:r w:rsidR="00B56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</w:t>
      </w:r>
      <w:r w:rsidR="00D00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инструктором по </w:t>
      </w:r>
      <w:proofErr w:type="spellStart"/>
      <w:r w:rsidR="00D00EF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физо</w:t>
      </w:r>
      <w:proofErr w:type="spellEnd"/>
      <w:r w:rsidR="00D00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566F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Караськовой</w:t>
      </w:r>
      <w:proofErr w:type="spellEnd"/>
      <w:r w:rsidR="00B56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Г.В.</w:t>
      </w:r>
      <w:r w:rsidR="00D94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</w:t>
      </w:r>
      <w:r w:rsidR="00D00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руководством старшего воспитателя </w:t>
      </w:r>
      <w:r w:rsidR="00B566F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Гриневич С.М.</w:t>
      </w:r>
    </w:p>
    <w:p w:rsidR="006513DB" w:rsidRPr="006513DB" w:rsidRDefault="006513DB" w:rsidP="006513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Всего </w:t>
      </w:r>
      <w:r w:rsidR="00672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обследовано </w:t>
      </w:r>
      <w:r w:rsidR="00A95EB3">
        <w:rPr>
          <w:rFonts w:ascii="Times New Roman" w:eastAsia="Times New Roman" w:hAnsi="Times New Roman" w:cs="Times New Roman"/>
          <w:sz w:val="24"/>
          <w:szCs w:val="24"/>
          <w:lang w:eastAsia="ru-RU"/>
        </w:rPr>
        <w:t>54</w:t>
      </w:r>
      <w:r w:rsidR="00D9405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</w:t>
      </w:r>
    </w:p>
    <w:p w:rsidR="006513DB" w:rsidRPr="006513DB" w:rsidRDefault="006513DB" w:rsidP="005678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3DB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</w:t>
      </w:r>
      <w:r w:rsidR="00D94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6513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младшего возраста </w:t>
      </w:r>
      <w:r w:rsidRPr="006513DB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  обследовано  </w:t>
      </w:r>
      <w:r w:rsidR="008B1169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8B1169" w:rsidRPr="008B1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11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="008B1169" w:rsidRPr="00651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1169" w:rsidRPr="006513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8B1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младшей</w:t>
      </w:r>
      <w:r w:rsidR="008B1169" w:rsidRPr="00651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1169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</w:t>
      </w:r>
      <w:proofErr w:type="gramStart"/>
      <w:r w:rsidR="008B1169" w:rsidRPr="00651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13D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6513DB">
        <w:rPr>
          <w:rFonts w:ascii="Times New Roman" w:eastAsia="Times New Roman" w:hAnsi="Times New Roman" w:cs="Times New Roman"/>
          <w:sz w:val="24"/>
          <w:szCs w:val="24"/>
          <w:lang w:eastAsia="ru-RU"/>
        </w:rPr>
        <w:t>з них:</w:t>
      </w:r>
    </w:p>
    <w:p w:rsidR="006513DB" w:rsidRPr="006513DB" w:rsidRDefault="006513DB" w:rsidP="005678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13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высокий уровень –  </w:t>
      </w:r>
      <w:r w:rsidR="009A01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8B11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2441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чел. (85</w:t>
      </w:r>
      <w:r w:rsidRPr="006513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%);</w:t>
      </w:r>
    </w:p>
    <w:p w:rsidR="006513DB" w:rsidRPr="006513DB" w:rsidRDefault="006513DB" w:rsidP="005678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13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средний уровень –   </w:t>
      </w:r>
      <w:r w:rsidR="008B11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2441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чел. </w:t>
      </w:r>
    </w:p>
    <w:p w:rsidR="006513DB" w:rsidRPr="006513DB" w:rsidRDefault="008B1169" w:rsidP="005678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низкий уровень –     2</w:t>
      </w:r>
      <w:r w:rsidR="002441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чел.  (15</w:t>
      </w:r>
      <w:r w:rsidR="006513DB" w:rsidRPr="006513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%).</w:t>
      </w:r>
    </w:p>
    <w:p w:rsidR="006513DB" w:rsidRPr="006513DB" w:rsidRDefault="006513DB" w:rsidP="005678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3D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мониторинга по линиям развития детей групп младшего возраста представлены в таблице № 1.</w:t>
      </w:r>
    </w:p>
    <w:p w:rsidR="006513DB" w:rsidRPr="006513DB" w:rsidRDefault="006513DB" w:rsidP="005678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513DB">
        <w:rPr>
          <w:rFonts w:ascii="Times New Roman" w:eastAsia="Times New Roman" w:hAnsi="Times New Roman" w:cs="Times New Roman"/>
          <w:sz w:val="24"/>
          <w:szCs w:val="24"/>
          <w:lang w:eastAsia="ru-RU"/>
        </w:rPr>
        <w:t>(группы:</w:t>
      </w:r>
      <w:proofErr w:type="gramEnd"/>
      <w:r w:rsidRPr="00651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513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9A0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младшая </w:t>
      </w:r>
      <w:proofErr w:type="gramStart"/>
      <w:r w:rsidR="009A0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 </w:t>
      </w:r>
      <w:r w:rsidRPr="006513D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6513D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441AB" w:rsidRPr="006513DB" w:rsidRDefault="006513DB" w:rsidP="006513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3D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</w:t>
      </w:r>
      <w:proofErr w:type="gramStart"/>
      <w:r w:rsidR="002441A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</w:p>
    <w:tbl>
      <w:tblPr>
        <w:tblStyle w:val="a6"/>
        <w:tblW w:w="10031" w:type="dxa"/>
        <w:tblLayout w:type="fixed"/>
        <w:tblLook w:val="04A0"/>
      </w:tblPr>
      <w:tblGrid>
        <w:gridCol w:w="1308"/>
        <w:gridCol w:w="1635"/>
        <w:gridCol w:w="1560"/>
        <w:gridCol w:w="1701"/>
        <w:gridCol w:w="1701"/>
        <w:gridCol w:w="1417"/>
        <w:gridCol w:w="709"/>
      </w:tblGrid>
      <w:tr w:rsidR="002441AB" w:rsidTr="002441AB">
        <w:trPr>
          <w:trHeight w:val="706"/>
        </w:trPr>
        <w:tc>
          <w:tcPr>
            <w:tcW w:w="1308" w:type="dxa"/>
          </w:tcPr>
          <w:p w:rsidR="002441AB" w:rsidRDefault="002441AB" w:rsidP="002279F1"/>
        </w:tc>
        <w:tc>
          <w:tcPr>
            <w:tcW w:w="1635" w:type="dxa"/>
          </w:tcPr>
          <w:p w:rsidR="002441AB" w:rsidRDefault="002441AB" w:rsidP="002279F1">
            <w:r>
              <w:t>Социально-коммуникативное</w:t>
            </w:r>
          </w:p>
          <w:p w:rsidR="002441AB" w:rsidRDefault="002441AB" w:rsidP="002279F1">
            <w:r>
              <w:t>развитие</w:t>
            </w:r>
          </w:p>
        </w:tc>
        <w:tc>
          <w:tcPr>
            <w:tcW w:w="1560" w:type="dxa"/>
          </w:tcPr>
          <w:p w:rsidR="002441AB" w:rsidRDefault="002441AB" w:rsidP="002279F1">
            <w:r>
              <w:t>Речевое развитие</w:t>
            </w:r>
          </w:p>
        </w:tc>
        <w:tc>
          <w:tcPr>
            <w:tcW w:w="1701" w:type="dxa"/>
          </w:tcPr>
          <w:p w:rsidR="002441AB" w:rsidRDefault="002441AB" w:rsidP="002279F1">
            <w:r>
              <w:t>Познавательное развитие</w:t>
            </w:r>
          </w:p>
        </w:tc>
        <w:tc>
          <w:tcPr>
            <w:tcW w:w="1701" w:type="dxa"/>
          </w:tcPr>
          <w:p w:rsidR="002441AB" w:rsidRDefault="002441AB" w:rsidP="002279F1">
            <w:r>
              <w:t>Художественно-эстетическое развитие</w:t>
            </w:r>
          </w:p>
        </w:tc>
        <w:tc>
          <w:tcPr>
            <w:tcW w:w="1417" w:type="dxa"/>
          </w:tcPr>
          <w:p w:rsidR="002441AB" w:rsidRDefault="002441AB" w:rsidP="002279F1">
            <w:r>
              <w:t>Физическое развитие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2441AB" w:rsidRDefault="002441AB" w:rsidP="002279F1">
            <w:r>
              <w:t>итог</w:t>
            </w:r>
          </w:p>
        </w:tc>
      </w:tr>
      <w:tr w:rsidR="002441AB" w:rsidTr="002441AB">
        <w:trPr>
          <w:trHeight w:val="230"/>
        </w:trPr>
        <w:tc>
          <w:tcPr>
            <w:tcW w:w="1308" w:type="dxa"/>
          </w:tcPr>
          <w:p w:rsidR="002441AB" w:rsidRDefault="002441AB" w:rsidP="002279F1">
            <w:r>
              <w:t>Начало года</w:t>
            </w:r>
          </w:p>
        </w:tc>
        <w:tc>
          <w:tcPr>
            <w:tcW w:w="1635" w:type="dxa"/>
          </w:tcPr>
          <w:p w:rsidR="002441AB" w:rsidRDefault="002441AB" w:rsidP="002279F1">
            <w:r>
              <w:t>68%</w:t>
            </w:r>
          </w:p>
        </w:tc>
        <w:tc>
          <w:tcPr>
            <w:tcW w:w="1560" w:type="dxa"/>
          </w:tcPr>
          <w:p w:rsidR="002441AB" w:rsidRDefault="002441AB" w:rsidP="002279F1">
            <w:r>
              <w:t>56%</w:t>
            </w:r>
          </w:p>
        </w:tc>
        <w:tc>
          <w:tcPr>
            <w:tcW w:w="1701" w:type="dxa"/>
          </w:tcPr>
          <w:p w:rsidR="002441AB" w:rsidRDefault="002441AB" w:rsidP="002279F1">
            <w:r>
              <w:t>66%</w:t>
            </w:r>
          </w:p>
        </w:tc>
        <w:tc>
          <w:tcPr>
            <w:tcW w:w="1701" w:type="dxa"/>
          </w:tcPr>
          <w:p w:rsidR="002441AB" w:rsidRDefault="002441AB" w:rsidP="002279F1">
            <w:r>
              <w:t>62%</w:t>
            </w:r>
          </w:p>
        </w:tc>
        <w:tc>
          <w:tcPr>
            <w:tcW w:w="1417" w:type="dxa"/>
          </w:tcPr>
          <w:p w:rsidR="002441AB" w:rsidRDefault="002441AB" w:rsidP="002279F1">
            <w:r>
              <w:t>76%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2441AB" w:rsidRDefault="002441AB" w:rsidP="002279F1">
            <w:r>
              <w:t>66%</w:t>
            </w:r>
          </w:p>
        </w:tc>
      </w:tr>
      <w:tr w:rsidR="002441AB" w:rsidTr="002441AB">
        <w:trPr>
          <w:trHeight w:val="246"/>
        </w:trPr>
        <w:tc>
          <w:tcPr>
            <w:tcW w:w="1308" w:type="dxa"/>
          </w:tcPr>
          <w:p w:rsidR="002441AB" w:rsidRDefault="002441AB" w:rsidP="002279F1">
            <w:r>
              <w:t>Конец года</w:t>
            </w:r>
          </w:p>
        </w:tc>
        <w:tc>
          <w:tcPr>
            <w:tcW w:w="1635" w:type="dxa"/>
          </w:tcPr>
          <w:p w:rsidR="002441AB" w:rsidRDefault="002441AB" w:rsidP="002279F1">
            <w:r>
              <w:t>78%</w:t>
            </w:r>
          </w:p>
        </w:tc>
        <w:tc>
          <w:tcPr>
            <w:tcW w:w="1560" w:type="dxa"/>
          </w:tcPr>
          <w:p w:rsidR="002441AB" w:rsidRDefault="002441AB" w:rsidP="002279F1">
            <w:r>
              <w:t>76%</w:t>
            </w:r>
          </w:p>
        </w:tc>
        <w:tc>
          <w:tcPr>
            <w:tcW w:w="1701" w:type="dxa"/>
          </w:tcPr>
          <w:p w:rsidR="002441AB" w:rsidRDefault="002441AB" w:rsidP="002279F1">
            <w:r>
              <w:t>80%</w:t>
            </w:r>
          </w:p>
        </w:tc>
        <w:tc>
          <w:tcPr>
            <w:tcW w:w="1701" w:type="dxa"/>
          </w:tcPr>
          <w:p w:rsidR="002441AB" w:rsidRDefault="002441AB" w:rsidP="002279F1">
            <w:r>
              <w:t>86%</w:t>
            </w:r>
          </w:p>
        </w:tc>
        <w:tc>
          <w:tcPr>
            <w:tcW w:w="1417" w:type="dxa"/>
          </w:tcPr>
          <w:p w:rsidR="002441AB" w:rsidRDefault="002441AB" w:rsidP="002279F1">
            <w:r>
              <w:t>94%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2441AB" w:rsidRDefault="002441AB" w:rsidP="002279F1">
            <w:r>
              <w:t>83%</w:t>
            </w:r>
          </w:p>
        </w:tc>
      </w:tr>
    </w:tbl>
    <w:p w:rsidR="006513DB" w:rsidRPr="006513DB" w:rsidRDefault="006513DB" w:rsidP="002441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учебного года проводилась индивидуальная работа с детьми, пополнялась учебно-методическая база ДОУ, </w:t>
      </w:r>
      <w:r w:rsidR="002441AB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еженедельно  преобразовывалась</w:t>
      </w:r>
      <w:r w:rsidRPr="00651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</w:t>
      </w:r>
      <w:r w:rsidR="002441AB">
        <w:rPr>
          <w:rFonts w:ascii="Times New Roman" w:eastAsia="Times New Roman" w:hAnsi="Times New Roman" w:cs="Times New Roman"/>
          <w:sz w:val="24"/>
          <w:szCs w:val="24"/>
          <w:lang w:eastAsia="ru-RU"/>
        </w:rPr>
        <w:t>дметно-развивающая среда  групп по темам недели,</w:t>
      </w:r>
      <w:r w:rsidRPr="00651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r w:rsidR="00244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использовались</w:t>
      </w:r>
      <w:r w:rsidRPr="00651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41AB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еженедельно</w:t>
      </w:r>
      <w:r w:rsidRPr="00651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 ИКТ, проводились закаливающие мероприятия, велась адаптационная и просветительская работа с родителями. Благодаря этому удалось повысить уровень освоения программы детьми к концу года.</w:t>
      </w:r>
    </w:p>
    <w:p w:rsidR="006513DB" w:rsidRPr="006513DB" w:rsidRDefault="006513DB" w:rsidP="005678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3DB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представленных данных можно сделать вывод, по всем образовательным направлениям преобладает</w:t>
      </w:r>
      <w:r w:rsidR="00244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высокий </w:t>
      </w:r>
      <w:r w:rsidRPr="00651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уровень развития. Особое внимание необходимо уделять речевому развитию младших дошкольников: побуждать к свободному общению </w:t>
      </w:r>
      <w:proofErr w:type="gramStart"/>
      <w:r w:rsidRPr="006513DB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651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сверстниками, осуществлять индивидуал</w:t>
      </w:r>
      <w:r w:rsidR="00510977">
        <w:rPr>
          <w:rFonts w:ascii="Times New Roman" w:eastAsia="Times New Roman" w:hAnsi="Times New Roman" w:cs="Times New Roman"/>
          <w:sz w:val="24"/>
          <w:szCs w:val="24"/>
          <w:lang w:eastAsia="ru-RU"/>
        </w:rPr>
        <w:t>ьные</w:t>
      </w:r>
      <w:r w:rsidRPr="00651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</w:t>
      </w:r>
      <w:r w:rsidR="00510977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651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с дошкольниками. Расширять формы взаимодействия с родителями воспитанников. </w:t>
      </w:r>
    </w:p>
    <w:p w:rsidR="006513DB" w:rsidRPr="006513DB" w:rsidRDefault="006513DB" w:rsidP="005678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3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Анализ данных показал, что материал по всем образовательным областям усвоен большинством детей на высоком уровне. Все дети овладели необходимыми умениями и навыками в соответствии с возрастными особенностями.  </w:t>
      </w:r>
    </w:p>
    <w:p w:rsidR="006513DB" w:rsidRPr="006513DB" w:rsidRDefault="006513DB" w:rsidP="005678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</w:t>
      </w:r>
      <w:r w:rsidRPr="006513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</w:t>
      </w:r>
      <w:r w:rsidR="009A01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ей</w:t>
      </w:r>
      <w:r w:rsidR="005109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группе</w:t>
      </w:r>
      <w:r w:rsidRPr="006513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</w:t>
      </w:r>
      <w:r w:rsidRPr="00651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было обследовано </w:t>
      </w:r>
      <w:r w:rsidR="0019214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A010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51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детей. Из них:</w:t>
      </w:r>
    </w:p>
    <w:p w:rsidR="006513DB" w:rsidRPr="006513DB" w:rsidRDefault="006513DB" w:rsidP="005678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13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высокий уровень –   </w:t>
      </w:r>
      <w:r w:rsidR="009A01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1921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CC62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чел. (</w:t>
      </w:r>
      <w:r w:rsidRPr="006513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CC62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6513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%);</w:t>
      </w:r>
    </w:p>
    <w:p w:rsidR="006513DB" w:rsidRPr="006513DB" w:rsidRDefault="006513DB" w:rsidP="005678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13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средний уровень –    </w:t>
      </w:r>
      <w:r w:rsidR="001921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CC62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чел. (</w:t>
      </w:r>
      <w:r w:rsidRPr="006513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CC62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6513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%);</w:t>
      </w:r>
    </w:p>
    <w:p w:rsidR="006513DB" w:rsidRPr="006513DB" w:rsidRDefault="006513DB" w:rsidP="005678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13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низкий уровень –      </w:t>
      </w:r>
      <w:r w:rsidR="001921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CC62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чел.  (7</w:t>
      </w:r>
      <w:r w:rsidRPr="006513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%).</w:t>
      </w:r>
    </w:p>
    <w:p w:rsidR="006513DB" w:rsidRPr="006513DB" w:rsidRDefault="00CC62DB" w:rsidP="005678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мониторинга средней</w:t>
      </w:r>
      <w:r w:rsidR="006513DB" w:rsidRPr="00651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6513DB" w:rsidRPr="00651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представлены в таблице № 2.</w:t>
      </w:r>
    </w:p>
    <w:p w:rsidR="006513DB" w:rsidRDefault="006513DB" w:rsidP="006513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3D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</w:t>
      </w:r>
    </w:p>
    <w:tbl>
      <w:tblPr>
        <w:tblStyle w:val="a6"/>
        <w:tblW w:w="10096" w:type="dxa"/>
        <w:tblLook w:val="04A0"/>
      </w:tblPr>
      <w:tblGrid>
        <w:gridCol w:w="1278"/>
        <w:gridCol w:w="1920"/>
        <w:gridCol w:w="1353"/>
        <w:gridCol w:w="1742"/>
        <w:gridCol w:w="1737"/>
        <w:gridCol w:w="1473"/>
        <w:gridCol w:w="593"/>
      </w:tblGrid>
      <w:tr w:rsidR="00CC62DB" w:rsidTr="00CC62DB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DB" w:rsidRDefault="00CC62DB" w:rsidP="002279F1"/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DB" w:rsidRDefault="00CC62DB" w:rsidP="002279F1">
            <w:r>
              <w:t>Социально-коммуникативное</w:t>
            </w:r>
          </w:p>
          <w:p w:rsidR="00CC62DB" w:rsidRDefault="00CC62DB" w:rsidP="002279F1">
            <w:r>
              <w:t>развитие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DB" w:rsidRDefault="00CC62DB" w:rsidP="002279F1">
            <w:r>
              <w:t>Речевое развитие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DB" w:rsidRDefault="00CC62DB" w:rsidP="002279F1">
            <w:r>
              <w:t>Познавательное развитие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DB" w:rsidRDefault="00CC62DB" w:rsidP="002279F1">
            <w:r>
              <w:t>Художественно-эстетическое развитие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DB" w:rsidRDefault="00CC62DB" w:rsidP="002279F1">
            <w:r>
              <w:t>Физическое развитие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DB" w:rsidRDefault="00CC62DB" w:rsidP="002279F1">
            <w:r>
              <w:t>итог</w:t>
            </w:r>
          </w:p>
        </w:tc>
      </w:tr>
      <w:tr w:rsidR="00CC62DB" w:rsidTr="00CC62DB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DB" w:rsidRDefault="00CC62DB" w:rsidP="002279F1">
            <w:r>
              <w:t>Начало года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DB" w:rsidRDefault="00CC62DB" w:rsidP="002279F1">
            <w:r>
              <w:t>40%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DB" w:rsidRDefault="00CC62DB" w:rsidP="002279F1">
            <w:r>
              <w:t>51%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DB" w:rsidRDefault="00CC62DB" w:rsidP="002279F1">
            <w:r>
              <w:t>45%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DB" w:rsidRDefault="00CC62DB" w:rsidP="002279F1">
            <w:r>
              <w:t>44%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DB" w:rsidRDefault="00CC62DB" w:rsidP="002279F1">
            <w:r>
              <w:t>42%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DB" w:rsidRDefault="00CC62DB" w:rsidP="002279F1">
            <w:r>
              <w:t>44%</w:t>
            </w:r>
          </w:p>
        </w:tc>
      </w:tr>
      <w:tr w:rsidR="00CC62DB" w:rsidTr="00CC62DB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DB" w:rsidRDefault="00CC62DB" w:rsidP="002279F1">
            <w:r>
              <w:t>Конец года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DB" w:rsidRDefault="00CC62DB" w:rsidP="002279F1">
            <w:r>
              <w:t>80%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DB" w:rsidRDefault="00CC62DB" w:rsidP="002279F1">
            <w:r>
              <w:t>78%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DB" w:rsidRDefault="00CC62DB" w:rsidP="002279F1">
            <w:r>
              <w:t>85%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DB" w:rsidRDefault="00CC62DB" w:rsidP="002279F1">
            <w:r>
              <w:t>80%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DB" w:rsidRDefault="00CC62DB" w:rsidP="002279F1">
            <w:r>
              <w:t>82%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DB" w:rsidRDefault="00CC62DB" w:rsidP="002279F1">
            <w:r>
              <w:t>81%</w:t>
            </w:r>
          </w:p>
        </w:tc>
      </w:tr>
    </w:tbl>
    <w:p w:rsidR="006513DB" w:rsidRPr="006513DB" w:rsidRDefault="006513DB" w:rsidP="006513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3DB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Данная возрастная группа детей показала достаточный уровень овладения результатами образовательной программой.  Данные проведённого мониторинга доказывают, что программный материал подобран в соответствии с возрастными и индивидуальными особенностями детей. Низкий уровень усвоения образовательн</w:t>
      </w:r>
      <w:r w:rsidR="00CC62DB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программы сведен к минимуму</w:t>
      </w:r>
      <w:r w:rsidRPr="006513DB">
        <w:rPr>
          <w:rFonts w:ascii="Times New Roman" w:eastAsia="Times New Roman" w:hAnsi="Times New Roman" w:cs="Times New Roman"/>
          <w:sz w:val="24"/>
          <w:szCs w:val="24"/>
          <w:lang w:eastAsia="ru-RU"/>
        </w:rPr>
        <w:t>, знания детей прочные, они способны применять их в повседневной жизни.</w:t>
      </w:r>
    </w:p>
    <w:p w:rsidR="006513DB" w:rsidRPr="006513DB" w:rsidRDefault="006513DB" w:rsidP="005678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</w:t>
      </w:r>
      <w:r w:rsidR="00CC62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старшей группе</w:t>
      </w:r>
      <w:r w:rsidRPr="006513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51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было обследовано  </w:t>
      </w:r>
      <w:r w:rsidR="003A67A7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6513DB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человек, из них имеют:</w:t>
      </w:r>
    </w:p>
    <w:p w:rsidR="006513DB" w:rsidRPr="006513DB" w:rsidRDefault="006513DB" w:rsidP="005678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3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  - высокий уровень  -   </w:t>
      </w:r>
      <w:r w:rsidR="00B535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3A67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6513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чел. (</w:t>
      </w:r>
      <w:r w:rsidR="003A67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83</w:t>
      </w:r>
      <w:r w:rsidRPr="006513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%);</w:t>
      </w:r>
    </w:p>
    <w:p w:rsidR="006513DB" w:rsidRPr="006513DB" w:rsidRDefault="006513DB" w:rsidP="005678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13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средний уровень –      </w:t>
      </w:r>
      <w:r w:rsidR="00B535B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A67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чел. (14</w:t>
      </w:r>
      <w:r w:rsidRPr="006513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%);</w:t>
      </w:r>
    </w:p>
    <w:p w:rsidR="006513DB" w:rsidRPr="006513DB" w:rsidRDefault="006513DB" w:rsidP="005678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13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низкий уровень –        </w:t>
      </w:r>
      <w:r w:rsidR="003A67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 чел</w:t>
      </w:r>
      <w:proofErr w:type="gramStart"/>
      <w:r w:rsidR="003A67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 (</w:t>
      </w:r>
      <w:r w:rsidRPr="006513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%).</w:t>
      </w:r>
      <w:proofErr w:type="gramEnd"/>
    </w:p>
    <w:p w:rsidR="006513DB" w:rsidRPr="006513DB" w:rsidRDefault="006513DB" w:rsidP="005678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мониторинга старшей группы </w:t>
      </w:r>
    </w:p>
    <w:p w:rsidR="006513DB" w:rsidRDefault="006513DB" w:rsidP="006513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3D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3</w:t>
      </w:r>
    </w:p>
    <w:tbl>
      <w:tblPr>
        <w:tblStyle w:val="a6"/>
        <w:tblW w:w="0" w:type="auto"/>
        <w:tblLook w:val="04A0"/>
      </w:tblPr>
      <w:tblGrid>
        <w:gridCol w:w="826"/>
        <w:gridCol w:w="1719"/>
        <w:gridCol w:w="1553"/>
        <w:gridCol w:w="953"/>
        <w:gridCol w:w="1600"/>
        <w:gridCol w:w="1211"/>
        <w:gridCol w:w="585"/>
        <w:gridCol w:w="1124"/>
      </w:tblGrid>
      <w:tr w:rsidR="003A67A7" w:rsidTr="003A67A7">
        <w:tc>
          <w:tcPr>
            <w:tcW w:w="826" w:type="dxa"/>
          </w:tcPr>
          <w:p w:rsidR="003A67A7" w:rsidRDefault="003A67A7" w:rsidP="002279F1"/>
        </w:tc>
        <w:tc>
          <w:tcPr>
            <w:tcW w:w="1719" w:type="dxa"/>
          </w:tcPr>
          <w:p w:rsidR="003A67A7" w:rsidRPr="00BA17B0" w:rsidRDefault="003A67A7" w:rsidP="002279F1">
            <w:r w:rsidRPr="00BA17B0">
              <w:t>Социально-коммуникативное</w:t>
            </w:r>
          </w:p>
          <w:p w:rsidR="003A67A7" w:rsidRDefault="003A67A7" w:rsidP="002279F1">
            <w:r w:rsidRPr="00BA17B0">
              <w:t xml:space="preserve"> развитие</w:t>
            </w:r>
          </w:p>
        </w:tc>
        <w:tc>
          <w:tcPr>
            <w:tcW w:w="1553" w:type="dxa"/>
          </w:tcPr>
          <w:p w:rsidR="003A67A7" w:rsidRPr="00BA17B0" w:rsidRDefault="003A67A7" w:rsidP="002279F1">
            <w:r w:rsidRPr="00BA17B0">
              <w:t>Познавательное развитие</w:t>
            </w:r>
          </w:p>
        </w:tc>
        <w:tc>
          <w:tcPr>
            <w:tcW w:w="953" w:type="dxa"/>
          </w:tcPr>
          <w:p w:rsidR="003A67A7" w:rsidRPr="00BA17B0" w:rsidRDefault="003A67A7" w:rsidP="002279F1">
            <w:r w:rsidRPr="00BA17B0">
              <w:t>Речевое развитие</w:t>
            </w:r>
          </w:p>
        </w:tc>
        <w:tc>
          <w:tcPr>
            <w:tcW w:w="1600" w:type="dxa"/>
          </w:tcPr>
          <w:p w:rsidR="003A67A7" w:rsidRPr="00BA17B0" w:rsidRDefault="003A67A7" w:rsidP="002279F1">
            <w:r>
              <w:t>Художественно-эстетическое развитие</w:t>
            </w:r>
          </w:p>
        </w:tc>
        <w:tc>
          <w:tcPr>
            <w:tcW w:w="1211" w:type="dxa"/>
          </w:tcPr>
          <w:p w:rsidR="003A67A7" w:rsidRDefault="003A67A7" w:rsidP="002279F1">
            <w:r>
              <w:t>Физическое развитие</w:t>
            </w:r>
          </w:p>
        </w:tc>
        <w:tc>
          <w:tcPr>
            <w:tcW w:w="585" w:type="dxa"/>
          </w:tcPr>
          <w:p w:rsidR="003A67A7" w:rsidRDefault="003A67A7" w:rsidP="002279F1">
            <w:r>
              <w:t>итог</w:t>
            </w:r>
          </w:p>
        </w:tc>
        <w:tc>
          <w:tcPr>
            <w:tcW w:w="1124" w:type="dxa"/>
          </w:tcPr>
          <w:p w:rsidR="003A67A7" w:rsidRDefault="003A67A7" w:rsidP="002279F1"/>
        </w:tc>
      </w:tr>
      <w:tr w:rsidR="003A67A7" w:rsidTr="003A67A7">
        <w:tc>
          <w:tcPr>
            <w:tcW w:w="826" w:type="dxa"/>
          </w:tcPr>
          <w:p w:rsidR="003A67A7" w:rsidRDefault="003A67A7" w:rsidP="002279F1">
            <w:r>
              <w:t>Начало года</w:t>
            </w:r>
          </w:p>
        </w:tc>
        <w:tc>
          <w:tcPr>
            <w:tcW w:w="1719" w:type="dxa"/>
          </w:tcPr>
          <w:p w:rsidR="003A67A7" w:rsidRDefault="003A67A7" w:rsidP="002279F1">
            <w:r>
              <w:t>45%</w:t>
            </w:r>
          </w:p>
        </w:tc>
        <w:tc>
          <w:tcPr>
            <w:tcW w:w="1553" w:type="dxa"/>
          </w:tcPr>
          <w:p w:rsidR="003A67A7" w:rsidRDefault="003A67A7" w:rsidP="002279F1">
            <w:r>
              <w:t>46%</w:t>
            </w:r>
          </w:p>
        </w:tc>
        <w:tc>
          <w:tcPr>
            <w:tcW w:w="953" w:type="dxa"/>
          </w:tcPr>
          <w:p w:rsidR="003A67A7" w:rsidRDefault="003A67A7" w:rsidP="002279F1">
            <w:r>
              <w:t>47%</w:t>
            </w:r>
          </w:p>
        </w:tc>
        <w:tc>
          <w:tcPr>
            <w:tcW w:w="1600" w:type="dxa"/>
          </w:tcPr>
          <w:p w:rsidR="003A67A7" w:rsidRDefault="003A67A7" w:rsidP="002279F1">
            <w:r>
              <w:t>46%</w:t>
            </w:r>
          </w:p>
        </w:tc>
        <w:tc>
          <w:tcPr>
            <w:tcW w:w="1211" w:type="dxa"/>
          </w:tcPr>
          <w:p w:rsidR="003A67A7" w:rsidRDefault="003A67A7" w:rsidP="002279F1">
            <w:r>
              <w:t>52%</w:t>
            </w:r>
          </w:p>
        </w:tc>
        <w:tc>
          <w:tcPr>
            <w:tcW w:w="585" w:type="dxa"/>
          </w:tcPr>
          <w:p w:rsidR="003A67A7" w:rsidRDefault="003A67A7" w:rsidP="002279F1">
            <w:r>
              <w:t>47%</w:t>
            </w:r>
          </w:p>
        </w:tc>
        <w:tc>
          <w:tcPr>
            <w:tcW w:w="1124" w:type="dxa"/>
          </w:tcPr>
          <w:p w:rsidR="003A67A7" w:rsidRDefault="003A67A7" w:rsidP="002279F1"/>
        </w:tc>
      </w:tr>
      <w:tr w:rsidR="003A67A7" w:rsidTr="003A67A7">
        <w:tc>
          <w:tcPr>
            <w:tcW w:w="826" w:type="dxa"/>
          </w:tcPr>
          <w:p w:rsidR="003A67A7" w:rsidRDefault="003A67A7" w:rsidP="002279F1">
            <w:r>
              <w:t>Конец года</w:t>
            </w:r>
          </w:p>
        </w:tc>
        <w:tc>
          <w:tcPr>
            <w:tcW w:w="1719" w:type="dxa"/>
          </w:tcPr>
          <w:p w:rsidR="003A67A7" w:rsidRDefault="003A67A7" w:rsidP="002279F1">
            <w:r>
              <w:t>82 %</w:t>
            </w:r>
          </w:p>
        </w:tc>
        <w:tc>
          <w:tcPr>
            <w:tcW w:w="1553" w:type="dxa"/>
          </w:tcPr>
          <w:p w:rsidR="003A67A7" w:rsidRDefault="003A67A7" w:rsidP="002279F1">
            <w:r>
              <w:t>77 %</w:t>
            </w:r>
          </w:p>
        </w:tc>
        <w:tc>
          <w:tcPr>
            <w:tcW w:w="953" w:type="dxa"/>
          </w:tcPr>
          <w:p w:rsidR="003A67A7" w:rsidRDefault="003A67A7" w:rsidP="002279F1">
            <w:r>
              <w:t>78 %</w:t>
            </w:r>
          </w:p>
        </w:tc>
        <w:tc>
          <w:tcPr>
            <w:tcW w:w="1600" w:type="dxa"/>
          </w:tcPr>
          <w:p w:rsidR="003A67A7" w:rsidRDefault="003A67A7" w:rsidP="002279F1">
            <w:r>
              <w:t>84 %</w:t>
            </w:r>
          </w:p>
        </w:tc>
        <w:tc>
          <w:tcPr>
            <w:tcW w:w="1211" w:type="dxa"/>
          </w:tcPr>
          <w:p w:rsidR="003A67A7" w:rsidRDefault="003A67A7" w:rsidP="002279F1">
            <w:r>
              <w:t>70 %</w:t>
            </w:r>
          </w:p>
        </w:tc>
        <w:tc>
          <w:tcPr>
            <w:tcW w:w="585" w:type="dxa"/>
          </w:tcPr>
          <w:p w:rsidR="003A67A7" w:rsidRDefault="003A67A7" w:rsidP="002279F1">
            <w:r>
              <w:t>80%</w:t>
            </w:r>
          </w:p>
        </w:tc>
        <w:tc>
          <w:tcPr>
            <w:tcW w:w="1124" w:type="dxa"/>
          </w:tcPr>
          <w:p w:rsidR="003A67A7" w:rsidRDefault="003A67A7" w:rsidP="002279F1">
            <w:r>
              <w:t>Средний показатель</w:t>
            </w:r>
          </w:p>
        </w:tc>
      </w:tr>
    </w:tbl>
    <w:p w:rsidR="006513DB" w:rsidRPr="006513DB" w:rsidRDefault="006513DB" w:rsidP="003A67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Исходя из общего результата мониторинга по освоению программного материала по всем образовательным областям, дети показали высокий и средний уровень развития. </w:t>
      </w:r>
      <w:r w:rsidR="003A67A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6513DB">
        <w:rPr>
          <w:rFonts w:ascii="Times New Roman" w:eastAsia="Times New Roman" w:hAnsi="Times New Roman" w:cs="Times New Roman"/>
          <w:sz w:val="24"/>
          <w:szCs w:val="24"/>
          <w:lang w:eastAsia="ru-RU"/>
        </w:rPr>
        <w:t>еализация  образовательных областей на достаточном уровне, предпосылки к повышению уровня детей существуют.  Достижению таких результатов способствовало использо</w:t>
      </w:r>
      <w:r w:rsidR="00A95EB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вание разнообразных форм работы</w:t>
      </w:r>
      <w:r w:rsidRPr="006513DB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Выявлены проблемы индивидуального развития каждого ребенка, в соответствии с которыми нужно продолжать формировать навыки и умения.</w:t>
      </w:r>
    </w:p>
    <w:p w:rsidR="006513DB" w:rsidRPr="006513DB" w:rsidRDefault="006513DB" w:rsidP="006513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</w:t>
      </w:r>
      <w:proofErr w:type="gramStart"/>
      <w:r w:rsidRPr="006513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подготовительн</w:t>
      </w:r>
      <w:r w:rsidR="00672F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ой</w:t>
      </w:r>
      <w:proofErr w:type="gramEnd"/>
      <w:r w:rsidRPr="006513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группах </w:t>
      </w:r>
      <w:r w:rsidRPr="00651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было обследовано </w:t>
      </w:r>
      <w:r w:rsidR="003A67A7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651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детей, из них имеют:</w:t>
      </w:r>
    </w:p>
    <w:p w:rsidR="006513DB" w:rsidRPr="006513DB" w:rsidRDefault="006513DB" w:rsidP="006513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13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высокий уровень – </w:t>
      </w:r>
      <w:r w:rsidR="003A67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="00A95E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чел. (</w:t>
      </w:r>
      <w:r w:rsidRPr="006513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A95E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6513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%);</w:t>
      </w:r>
    </w:p>
    <w:p w:rsidR="006513DB" w:rsidRPr="006513DB" w:rsidRDefault="006513DB" w:rsidP="006513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13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средний уровень –  </w:t>
      </w:r>
      <w:r w:rsidR="003A67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A95E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чел.(21</w:t>
      </w:r>
      <w:r w:rsidRPr="006513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%);</w:t>
      </w:r>
    </w:p>
    <w:p w:rsidR="006513DB" w:rsidRPr="006513DB" w:rsidRDefault="00A95EB3" w:rsidP="006513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низкий уровень –    0 чел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(</w:t>
      </w:r>
      <w:r w:rsidR="006513DB" w:rsidRPr="006513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%).</w:t>
      </w:r>
      <w:proofErr w:type="gramEnd"/>
    </w:p>
    <w:p w:rsidR="006513DB" w:rsidRPr="006513DB" w:rsidRDefault="006513DB" w:rsidP="006513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3D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мониторинга подготовительн</w:t>
      </w:r>
      <w:r w:rsidR="00672FD3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651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</w:t>
      </w:r>
      <w:r w:rsidR="00672FD3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651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представлены в таблице № 4.</w:t>
      </w:r>
    </w:p>
    <w:p w:rsidR="00A95EB3" w:rsidRPr="006513DB" w:rsidRDefault="006513DB" w:rsidP="006513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3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</w:t>
      </w:r>
      <w:r w:rsidR="00A95EB3" w:rsidRPr="006513D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 4</w:t>
      </w:r>
    </w:p>
    <w:tbl>
      <w:tblPr>
        <w:tblStyle w:val="a6"/>
        <w:tblW w:w="10096" w:type="dxa"/>
        <w:tblLook w:val="04A0"/>
      </w:tblPr>
      <w:tblGrid>
        <w:gridCol w:w="1278"/>
        <w:gridCol w:w="1920"/>
        <w:gridCol w:w="1353"/>
        <w:gridCol w:w="1742"/>
        <w:gridCol w:w="1737"/>
        <w:gridCol w:w="1473"/>
        <w:gridCol w:w="593"/>
      </w:tblGrid>
      <w:tr w:rsidR="00A95EB3" w:rsidTr="00A95EB3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3" w:rsidRDefault="00A95EB3" w:rsidP="002279F1"/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B3" w:rsidRDefault="00A95EB3" w:rsidP="002279F1">
            <w:r>
              <w:t>Социально-коммуникативное</w:t>
            </w:r>
          </w:p>
          <w:p w:rsidR="00A95EB3" w:rsidRDefault="00A95EB3" w:rsidP="002279F1">
            <w:r>
              <w:t>развитие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B3" w:rsidRDefault="00A95EB3" w:rsidP="002279F1">
            <w:r>
              <w:t>Речевое развитие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B3" w:rsidRDefault="00A95EB3" w:rsidP="002279F1">
            <w:r>
              <w:t>Познавательное развитие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B3" w:rsidRDefault="00A95EB3" w:rsidP="002279F1">
            <w:r>
              <w:t>Художественно-эстетическое развитие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B3" w:rsidRDefault="00A95EB3" w:rsidP="002279F1">
            <w:r>
              <w:t>Физическое развитие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B3" w:rsidRDefault="00A95EB3" w:rsidP="002279F1">
            <w:r>
              <w:t>итог</w:t>
            </w:r>
          </w:p>
        </w:tc>
      </w:tr>
      <w:tr w:rsidR="00A95EB3" w:rsidTr="00A95EB3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B3" w:rsidRDefault="00A95EB3" w:rsidP="002279F1">
            <w:r>
              <w:t>Начало года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B3" w:rsidRDefault="00A95EB3" w:rsidP="002279F1">
            <w:r>
              <w:t>78%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B3" w:rsidRDefault="00A95EB3" w:rsidP="002279F1">
            <w:r>
              <w:t>65%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B3" w:rsidRDefault="00A95EB3" w:rsidP="002279F1">
            <w:r>
              <w:t>68%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B3" w:rsidRDefault="00A95EB3" w:rsidP="002279F1">
            <w:r>
              <w:t>66%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B3" w:rsidRDefault="00A95EB3" w:rsidP="002279F1">
            <w:r>
              <w:t>67%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B3" w:rsidRDefault="00A95EB3" w:rsidP="002279F1">
            <w:r>
              <w:t>69%</w:t>
            </w:r>
          </w:p>
        </w:tc>
      </w:tr>
      <w:tr w:rsidR="00A95EB3" w:rsidTr="00A95EB3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B3" w:rsidRDefault="00A95EB3" w:rsidP="002279F1">
            <w:r>
              <w:t>Конец года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3" w:rsidRDefault="00A95EB3" w:rsidP="002279F1">
            <w:r>
              <w:t>92%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3" w:rsidRDefault="00A95EB3" w:rsidP="002279F1">
            <w:r>
              <w:t>84%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3" w:rsidRDefault="00A95EB3" w:rsidP="002279F1">
            <w:r>
              <w:t>89%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3" w:rsidRDefault="00A95EB3" w:rsidP="002279F1">
            <w:r>
              <w:t>86%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3" w:rsidRDefault="00A95EB3" w:rsidP="002279F1">
            <w:r>
              <w:t>92%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3" w:rsidRDefault="00A95EB3" w:rsidP="002279F1">
            <w:r>
              <w:t>89%</w:t>
            </w:r>
          </w:p>
        </w:tc>
      </w:tr>
    </w:tbl>
    <w:p w:rsidR="006513DB" w:rsidRPr="006513DB" w:rsidRDefault="006513DB" w:rsidP="006513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3DB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итоге представленных данных мониторингового обследования видно, что у детей к школе сформированы  познавательные интересы, они выговаривают все звуки родного языка, сформирован грамматический строй речи. Они умеют договариваться, находить выход из конфликтных ситуаций. Преобладает высокий уровень достижения планируемых результатов освоения основно</w:t>
      </w:r>
      <w:r w:rsidR="00A95EB3">
        <w:rPr>
          <w:rFonts w:ascii="Times New Roman" w:eastAsia="Times New Roman" w:hAnsi="Times New Roman" w:cs="Times New Roman"/>
          <w:sz w:val="24"/>
          <w:szCs w:val="24"/>
          <w:lang w:eastAsia="ru-RU"/>
        </w:rPr>
        <w:t>й общеобразовательной программы МКДОУ</w:t>
      </w:r>
    </w:p>
    <w:p w:rsidR="006513DB" w:rsidRPr="006513DB" w:rsidRDefault="006513DB" w:rsidP="006513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13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513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Результатам мониторинга образовательного процесса и детского развития по всем возрастным группам</w:t>
      </w:r>
    </w:p>
    <w:p w:rsidR="006513DB" w:rsidRPr="006513DB" w:rsidRDefault="006513DB" w:rsidP="006513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детей </w:t>
      </w:r>
      <w:r w:rsidR="00A95EB3">
        <w:rPr>
          <w:rFonts w:ascii="Times New Roman" w:eastAsia="Times New Roman" w:hAnsi="Times New Roman" w:cs="Times New Roman"/>
          <w:sz w:val="24"/>
          <w:szCs w:val="24"/>
          <w:lang w:eastAsia="ru-RU"/>
        </w:rPr>
        <w:t>54</w:t>
      </w:r>
      <w:r w:rsidRPr="00651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из них имеют:</w:t>
      </w:r>
    </w:p>
    <w:p w:rsidR="006513DB" w:rsidRPr="006513DB" w:rsidRDefault="006513DB" w:rsidP="006513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13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 </w:t>
      </w:r>
      <w:r w:rsidR="00672F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высокий уровень – </w:t>
      </w:r>
      <w:r w:rsidR="00A95E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43</w:t>
      </w:r>
      <w:r w:rsidRPr="006513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человека  (</w:t>
      </w:r>
      <w:r w:rsidR="00A95E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80</w:t>
      </w:r>
      <w:r w:rsidRPr="006513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%);</w:t>
      </w:r>
    </w:p>
    <w:p w:rsidR="006513DB" w:rsidRPr="006513DB" w:rsidRDefault="006513DB" w:rsidP="006513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13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средний уровень –  </w:t>
      </w:r>
      <w:r w:rsidR="00A95E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6513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человека  (</w:t>
      </w:r>
      <w:r w:rsidR="00A95E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6513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5 %);</w:t>
      </w:r>
    </w:p>
    <w:p w:rsidR="00CE14A2" w:rsidRDefault="006513DB" w:rsidP="00CE14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13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низкий уровень –     </w:t>
      </w:r>
      <w:r w:rsidR="00A95E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3человека    (5</w:t>
      </w:r>
      <w:r w:rsidRPr="006513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%).</w:t>
      </w:r>
    </w:p>
    <w:p w:rsidR="00567813" w:rsidRPr="00CE14A2" w:rsidRDefault="006513DB" w:rsidP="00CE14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1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качества освоения программного материала воспитанниками по образовательным областям   позволяет выстроить следующий рейтинговый порядок: наиболее высокие результаты у воспитанников по таким образовательным направлениям, как </w:t>
      </w:r>
      <w:r w:rsidR="00CE14A2">
        <w:rPr>
          <w:rFonts w:ascii="Times New Roman" w:eastAsia="Times New Roman" w:hAnsi="Times New Roman" w:cs="Times New Roman"/>
          <w:sz w:val="24"/>
          <w:szCs w:val="24"/>
          <w:lang w:eastAsia="ru-RU"/>
        </w:rPr>
        <w:t>«Физическое  развитие» - 86</w:t>
      </w:r>
      <w:r w:rsidRPr="00651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%, несколько ниже результаты по направлениям и областям «Социально </w:t>
      </w:r>
      <w:r w:rsidR="00CE14A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коммуникативное развитие» - 82</w:t>
      </w:r>
      <w:r w:rsidRPr="00651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</w:t>
      </w:r>
      <w:r w:rsidR="00CE1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E14A2" w:rsidRPr="006513DB">
        <w:rPr>
          <w:rFonts w:ascii="Times New Roman" w:eastAsia="Times New Roman" w:hAnsi="Times New Roman" w:cs="Times New Roman"/>
          <w:sz w:val="24"/>
          <w:szCs w:val="24"/>
          <w:lang w:eastAsia="ru-RU"/>
        </w:rPr>
        <w:t>«Художественно – эстетическое ра</w:t>
      </w:r>
      <w:r w:rsidR="00CE14A2">
        <w:rPr>
          <w:rFonts w:ascii="Times New Roman" w:eastAsia="Times New Roman" w:hAnsi="Times New Roman" w:cs="Times New Roman"/>
          <w:sz w:val="24"/>
          <w:szCs w:val="24"/>
          <w:lang w:eastAsia="ru-RU"/>
        </w:rPr>
        <w:t>звитие» - 82%</w:t>
      </w:r>
      <w:r w:rsidRPr="00651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E1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«Познавательное развитие» - </w:t>
      </w:r>
      <w:r w:rsidRPr="006513D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CE14A2">
        <w:rPr>
          <w:rFonts w:ascii="Times New Roman" w:eastAsia="Times New Roman" w:hAnsi="Times New Roman" w:cs="Times New Roman"/>
          <w:sz w:val="24"/>
          <w:szCs w:val="24"/>
          <w:lang w:eastAsia="ru-RU"/>
        </w:rPr>
        <w:t>9%</w:t>
      </w:r>
      <w:r w:rsidR="00CE14A2" w:rsidRPr="00651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1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«Речевое развитие» - </w:t>
      </w:r>
      <w:r w:rsidR="00CE14A2" w:rsidRPr="006513D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CE14A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E14A2" w:rsidRPr="006513DB">
        <w:rPr>
          <w:rFonts w:ascii="Times New Roman" w:eastAsia="Times New Roman" w:hAnsi="Times New Roman" w:cs="Times New Roman"/>
          <w:sz w:val="24"/>
          <w:szCs w:val="24"/>
          <w:lang w:eastAsia="ru-RU"/>
        </w:rPr>
        <w:t>%,</w:t>
      </w:r>
    </w:p>
    <w:p w:rsidR="006513DB" w:rsidRPr="006513DB" w:rsidRDefault="006513DB" w:rsidP="00CE14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3D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итоги данного мониторинга помогут педагогам определить дифференцированный подход к каждому ребёнку в подборе форм организации, методов и приёмов воспитания и развития на новый учебный год.</w:t>
      </w:r>
    </w:p>
    <w:p w:rsidR="006513DB" w:rsidRPr="006513DB" w:rsidRDefault="006513DB" w:rsidP="00CE14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3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Вывод:</w:t>
      </w:r>
      <w:r w:rsidRPr="00651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мониторинга овладения воспитанниками дошкольного образовательного учреждения программным материалом по образовательным областям являются </w:t>
      </w:r>
      <w:r w:rsidR="00567813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удовлетворительными на достаточном уровне</w:t>
      </w:r>
      <w:r w:rsidRPr="006513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13DB" w:rsidRPr="006513DB" w:rsidRDefault="006513DB" w:rsidP="005678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3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Рекомендации</w:t>
      </w:r>
      <w:r w:rsidRPr="006513D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513DB" w:rsidRPr="006513DB" w:rsidRDefault="00CE14A2" w:rsidP="005678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r w:rsidR="006513DB" w:rsidRPr="006513D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целенаправленную работу по повышению качества освоения программного материала по образовательным областям «Познавательное развитие»,</w:t>
      </w:r>
      <w:r w:rsidRPr="00CE1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«Речевое развитие»,</w:t>
      </w:r>
      <w:r w:rsidRPr="00651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Художественно – эстетическое 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звитие»,</w:t>
      </w:r>
      <w:r w:rsidR="006513DB" w:rsidRPr="00651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«Социально – коммуникативное развитие»,</w:t>
      </w:r>
      <w:r w:rsidRPr="00CE1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1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«Физическое развитие», </w:t>
      </w:r>
      <w:r w:rsidR="006513DB" w:rsidRPr="00651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исполнения:  постоянно, в течение года.</w:t>
      </w:r>
    </w:p>
    <w:p w:rsidR="006513DB" w:rsidRPr="006513DB" w:rsidRDefault="00567813" w:rsidP="005678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</w:t>
      </w:r>
      <w:r w:rsidR="006513DB" w:rsidRPr="006513D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дифференцированный подход в течение года к детям с целью улучшения освоения программы. Срок исполнения:  систематично, в течение года</w:t>
      </w:r>
    </w:p>
    <w:p w:rsidR="006513DB" w:rsidRPr="006513DB" w:rsidRDefault="006513DB" w:rsidP="005678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3DB">
        <w:rPr>
          <w:rFonts w:ascii="Times New Roman" w:eastAsia="Times New Roman" w:hAnsi="Times New Roman" w:cs="Times New Roman"/>
          <w:sz w:val="24"/>
          <w:szCs w:val="24"/>
          <w:lang w:eastAsia="ru-RU"/>
        </w:rPr>
        <w:t>3.  При планировании воспитательно-образовательной работы учитывать результаты мониторинга. Срок исполнения:  постоянно, в течение года</w:t>
      </w:r>
    </w:p>
    <w:p w:rsidR="006513DB" w:rsidRPr="006513DB" w:rsidRDefault="006513DB" w:rsidP="006513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3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13DB" w:rsidRDefault="006513DB" w:rsidP="006513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3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05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Ст. воспитатель </w:t>
      </w:r>
      <w:r w:rsidR="00CE14A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Гриневич С.М,</w:t>
      </w:r>
    </w:p>
    <w:p w:rsidR="00E05F1A" w:rsidRPr="006513DB" w:rsidRDefault="00CE14A2" w:rsidP="006513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21.05.2021</w:t>
      </w:r>
      <w:r w:rsidR="00E05F1A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bookmarkStart w:id="0" w:name="_GoBack"/>
      <w:bookmarkEnd w:id="0"/>
    </w:p>
    <w:sectPr w:rsidR="00E05F1A" w:rsidRPr="006513DB" w:rsidSect="006513D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1562F"/>
    <w:multiLevelType w:val="hybridMultilevel"/>
    <w:tmpl w:val="D842E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026F17"/>
    <w:multiLevelType w:val="hybridMultilevel"/>
    <w:tmpl w:val="2EE67F74"/>
    <w:lvl w:ilvl="0" w:tplc="A44EB4D2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53C879EE"/>
    <w:multiLevelType w:val="hybridMultilevel"/>
    <w:tmpl w:val="A9ACD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349"/>
    <w:rsid w:val="0019214D"/>
    <w:rsid w:val="002441AB"/>
    <w:rsid w:val="002D3FF5"/>
    <w:rsid w:val="003A67A7"/>
    <w:rsid w:val="004F719C"/>
    <w:rsid w:val="00510977"/>
    <w:rsid w:val="00567813"/>
    <w:rsid w:val="005C225D"/>
    <w:rsid w:val="005F4EB4"/>
    <w:rsid w:val="006513DB"/>
    <w:rsid w:val="00672FD3"/>
    <w:rsid w:val="00823130"/>
    <w:rsid w:val="008B1169"/>
    <w:rsid w:val="009A0101"/>
    <w:rsid w:val="00A95EB3"/>
    <w:rsid w:val="00AB687D"/>
    <w:rsid w:val="00B01349"/>
    <w:rsid w:val="00B14A71"/>
    <w:rsid w:val="00B535B8"/>
    <w:rsid w:val="00B566F7"/>
    <w:rsid w:val="00CC62DB"/>
    <w:rsid w:val="00CE14A2"/>
    <w:rsid w:val="00D00EF5"/>
    <w:rsid w:val="00D94055"/>
    <w:rsid w:val="00E05F1A"/>
    <w:rsid w:val="00FD7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513DB"/>
  </w:style>
  <w:style w:type="paragraph" w:customStyle="1" w:styleId="Default">
    <w:name w:val="Default"/>
    <w:rsid w:val="006513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99"/>
    <w:qFormat/>
    <w:rsid w:val="006513DB"/>
    <w:pPr>
      <w:ind w:left="720"/>
    </w:pPr>
    <w:rPr>
      <w:rFonts w:ascii="Calibri" w:eastAsia="Calibri" w:hAnsi="Calibri" w:cs="Calibri"/>
    </w:rPr>
  </w:style>
  <w:style w:type="character" w:styleId="a4">
    <w:name w:val="Strong"/>
    <w:qFormat/>
    <w:rsid w:val="006513DB"/>
    <w:rPr>
      <w:b/>
      <w:bCs/>
    </w:rPr>
  </w:style>
  <w:style w:type="paragraph" w:styleId="a5">
    <w:name w:val="Normal (Web)"/>
    <w:basedOn w:val="a"/>
    <w:uiPriority w:val="99"/>
    <w:unhideWhenUsed/>
    <w:rsid w:val="00651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51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513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513DB"/>
  </w:style>
  <w:style w:type="paragraph" w:customStyle="1" w:styleId="Default">
    <w:name w:val="Default"/>
    <w:rsid w:val="006513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99"/>
    <w:qFormat/>
    <w:rsid w:val="006513DB"/>
    <w:pPr>
      <w:ind w:left="720"/>
    </w:pPr>
    <w:rPr>
      <w:rFonts w:ascii="Calibri" w:eastAsia="Calibri" w:hAnsi="Calibri" w:cs="Calibri"/>
    </w:rPr>
  </w:style>
  <w:style w:type="character" w:styleId="a4">
    <w:name w:val="Strong"/>
    <w:qFormat/>
    <w:rsid w:val="006513DB"/>
    <w:rPr>
      <w:b/>
      <w:bCs/>
    </w:rPr>
  </w:style>
  <w:style w:type="paragraph" w:styleId="a5">
    <w:name w:val="Normal (Web)"/>
    <w:basedOn w:val="a"/>
    <w:uiPriority w:val="99"/>
    <w:unhideWhenUsed/>
    <w:rsid w:val="00651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51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513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4</Pages>
  <Words>1158</Words>
  <Characters>6604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2019-04-29T04:02:00Z</dcterms:created>
  <dcterms:modified xsi:type="dcterms:W3CDTF">2021-05-07T07:25:00Z</dcterms:modified>
</cp:coreProperties>
</file>